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D" w:rsidRPr="005D17C8" w:rsidRDefault="00F4001D" w:rsidP="008203EB">
      <w:pPr>
        <w:spacing w:after="0" w:line="240" w:lineRule="auto"/>
        <w:ind w:left="567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sz w:val="24"/>
          <w:szCs w:val="24"/>
          <w:lang w:eastAsia="ru-RU"/>
        </w:rPr>
        <w:t xml:space="preserve">Додаток 1 </w:t>
      </w:r>
    </w:p>
    <w:p w:rsidR="00F4001D" w:rsidRPr="005D17C8" w:rsidRDefault="00F4001D" w:rsidP="008203E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sz w:val="24"/>
          <w:szCs w:val="24"/>
          <w:lang w:eastAsia="ru-RU"/>
        </w:rPr>
        <w:t xml:space="preserve">до Положення про Бюджет </w:t>
      </w:r>
    </w:p>
    <w:p w:rsidR="00F4001D" w:rsidRPr="005D17C8" w:rsidRDefault="00F4001D" w:rsidP="008203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</w:t>
      </w:r>
      <w:r w:rsidR="002B21F7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 xml:space="preserve">участі Слобожанської </w:t>
      </w:r>
    </w:p>
    <w:p w:rsidR="00F4001D" w:rsidRPr="005D17C8" w:rsidRDefault="00F4001D" w:rsidP="008203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  <w:t>селищної територіальної</w:t>
      </w:r>
    </w:p>
    <w:p w:rsidR="00F4001D" w:rsidRPr="005D17C8" w:rsidRDefault="00F4001D" w:rsidP="008203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</w:r>
      <w:r w:rsidRPr="005D17C8">
        <w:rPr>
          <w:rFonts w:ascii="Times New Roman" w:hAnsi="Times New Roman"/>
          <w:sz w:val="24"/>
          <w:szCs w:val="24"/>
          <w:lang w:eastAsia="ru-RU"/>
        </w:rPr>
        <w:tab/>
        <w:t>громади</w:t>
      </w:r>
    </w:p>
    <w:p w:rsidR="00F4001D" w:rsidRPr="005D17C8" w:rsidRDefault="00F4001D" w:rsidP="00820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>ФОРМА ПРОЕКТУ</w:t>
      </w:r>
    </w:p>
    <w:p w:rsidR="00F4001D" w:rsidRPr="005D17C8" w:rsidRDefault="00F4001D" w:rsidP="00820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реалізація якого планується за рахунок коштів </w:t>
      </w:r>
    </w:p>
    <w:p w:rsidR="00F4001D" w:rsidRPr="005D17C8" w:rsidRDefault="00F4001D" w:rsidP="00820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Бюджету участі Слобожанської селищної територіальної громади </w:t>
      </w:r>
    </w:p>
    <w:p w:rsidR="00F4001D" w:rsidRPr="005D17C8" w:rsidRDefault="00F4001D" w:rsidP="00820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2021</w:t>
      </w: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році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>Дата надходження до Робочої групи  _________________________________________________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(заповнюється головою, секретарем або одним з уповноважених членів Робочої групи) 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Включено до реєстру поданих проектів за № _________________________________________  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17C8">
        <w:rPr>
          <w:rFonts w:ascii="Times New Roman" w:hAnsi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 Робочої групи)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>ПІБ та підпис особи що реєструє: _________________________________________</w:t>
      </w:r>
      <w:r w:rsidRPr="005D17C8">
        <w:rPr>
          <w:rFonts w:ascii="Times New Roman" w:hAnsi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членів)</w:t>
      </w:r>
    </w:p>
    <w:p w:rsidR="00F4001D" w:rsidRPr="005D17C8" w:rsidRDefault="00F4001D" w:rsidP="008203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Назва проекту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(не більше 15 слів): </w:t>
      </w: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2498" w:rsidRPr="005D17C8" w:rsidRDefault="00232498" w:rsidP="0023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Мобільний парк екстремальних видів спорту (сапи).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Напрямки проекту </w:t>
      </w:r>
      <w:r w:rsidRPr="005D17C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(необхідне поставити знак «х»):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70"/>
        <w:gridCol w:w="3869"/>
      </w:tblGrid>
      <w:tr w:rsidR="00F4001D" w:rsidRPr="005577A6" w:rsidTr="00601945">
        <w:trPr>
          <w:tblCellSpacing w:w="22" w:type="dxa"/>
        </w:trPr>
        <w:tc>
          <w:tcPr>
            <w:tcW w:w="2959" w:type="pct"/>
          </w:tcPr>
          <w:p w:rsidR="00F4001D" w:rsidRPr="005D17C8" w:rsidRDefault="00F4001D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392"/>
            <w:bookmarkEnd w:id="0"/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63C0C" w:rsidRPr="00B463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2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1" w:name="393"/>
            <w:bookmarkEnd w:id="1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Інфраструктура</w:t>
            </w:r>
          </w:p>
          <w:p w:rsidR="00F4001D" w:rsidRPr="005D17C8" w:rsidRDefault="00F4001D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63C0C" w:rsidRPr="00B463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2" name="Рисунок 4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Освіта </w:t>
            </w:r>
          </w:p>
          <w:p w:rsidR="00F4001D" w:rsidRPr="005D17C8" w:rsidRDefault="00F4001D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394"/>
            <w:bookmarkEnd w:id="2"/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uk-UA"/>
              </w:rPr>
              <w:t>Х</w:t>
            </w:r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Культура, молодь і спорт</w:t>
            </w:r>
          </w:p>
          <w:p w:rsidR="00F4001D" w:rsidRPr="005D17C8" w:rsidRDefault="00F4001D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395"/>
            <w:bookmarkEnd w:id="3"/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63C0C" w:rsidRPr="00B463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3" name="Рисунок 6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4" w:name="396"/>
            <w:bookmarkEnd w:id="4"/>
            <w:r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оціальний захист</w:t>
            </w:r>
          </w:p>
          <w:p w:rsidR="00F4001D" w:rsidRPr="005D17C8" w:rsidRDefault="00063C0C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397"/>
            <w:bookmarkEnd w:id="5"/>
            <w:r w:rsidRPr="00B463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4" name="Рисунок 7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01D" w:rsidRPr="005D17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400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ІТ, безпека та громадський порядок</w:t>
            </w:r>
          </w:p>
        </w:tc>
        <w:tc>
          <w:tcPr>
            <w:tcW w:w="1972" w:type="pct"/>
          </w:tcPr>
          <w:p w:rsidR="00F4001D" w:rsidRPr="005D17C8" w:rsidRDefault="00F4001D" w:rsidP="006019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398"/>
            <w:bookmarkEnd w:id="6"/>
          </w:p>
        </w:tc>
      </w:tr>
    </w:tbl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Місце реалізації проекту </w:t>
      </w:r>
      <w:r w:rsidRPr="005D17C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(адреса, назва установи/закладу, кадастровий номер земельної ділянки тощо)</w:t>
      </w: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Default="00DF0DBE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 буде знаходитися на балансі: с</w:t>
      </w:r>
      <w:r w:rsidR="00F4001D">
        <w:rPr>
          <w:rFonts w:ascii="Times New Roman" w:hAnsi="Times New Roman"/>
          <w:color w:val="000000"/>
          <w:sz w:val="24"/>
          <w:szCs w:val="24"/>
          <w:lang w:eastAsia="ru-RU"/>
        </w:rPr>
        <w:t>мт. Слобожанське, вул. Теплична, 23, КЗ «ЦКД «Слобожанський»». Гурток «Школа туризму», керівниця гуртка: Проскура Анастасія.</w:t>
      </w:r>
    </w:p>
    <w:p w:rsidR="00DF0DBE" w:rsidRPr="005D17C8" w:rsidRDefault="00DF0DBE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Місце реалізації проекту: річкові мережі (р. Самара, р. Кільчень, 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Оріль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р. Дніпро 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т.д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.) та водні ресурси України.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Мета проекту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(не більше 50 слів ) </w:t>
      </w:r>
    </w:p>
    <w:p w:rsidR="00F4001D" w:rsidRDefault="00F4001D" w:rsidP="001651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232498" w:rsidRDefault="00F4001D" w:rsidP="001651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B13F4">
        <w:rPr>
          <w:rFonts w:ascii="Times New Roman" w:hAnsi="Times New Roman"/>
          <w:sz w:val="24"/>
          <w:szCs w:val="24"/>
          <w:lang w:eastAsia="ru-RU"/>
        </w:rPr>
        <w:t xml:space="preserve">Залучення мешканців громади до активного </w:t>
      </w:r>
      <w:r w:rsidR="00DB13F4">
        <w:rPr>
          <w:rFonts w:ascii="Times New Roman" w:hAnsi="Times New Roman"/>
          <w:sz w:val="24"/>
          <w:szCs w:val="24"/>
          <w:lang w:eastAsia="ru-RU"/>
        </w:rPr>
        <w:t>спортивного</w:t>
      </w:r>
      <w:r w:rsidRPr="00DB13F4">
        <w:rPr>
          <w:rFonts w:ascii="Times New Roman" w:hAnsi="Times New Roman"/>
          <w:sz w:val="24"/>
          <w:szCs w:val="24"/>
          <w:lang w:eastAsia="ru-RU"/>
        </w:rPr>
        <w:t xml:space="preserve"> відпочинку, підвищення рівня фізичного розвитку дітей та дорослих різного віку</w:t>
      </w:r>
      <w:r w:rsidR="00DB13F4">
        <w:rPr>
          <w:rFonts w:ascii="Times New Roman" w:hAnsi="Times New Roman"/>
          <w:sz w:val="24"/>
          <w:szCs w:val="24"/>
          <w:lang w:eastAsia="ru-RU"/>
        </w:rPr>
        <w:t>.</w:t>
      </w:r>
      <w:r w:rsidRPr="00DB13F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Опис проекту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(основна мета проекту; проблема, на вирішення якої він спрямований; запропоновані рішення; пояснення, чому саме це завдання повинно бути реалізоване і яким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чином його реалізація вплине на подальше життя мешканців. Опис проекту не повинен </w:t>
      </w:r>
      <w:r w:rsidRPr="005D17C8">
        <w:rPr>
          <w:rFonts w:ascii="Times New Roman" w:hAnsi="Times New Roman"/>
          <w:i/>
          <w:iCs/>
          <w:sz w:val="24"/>
          <w:szCs w:val="24"/>
          <w:lang w:eastAsia="ru-RU"/>
        </w:rPr>
        <w:t>містити вказівки на суб’єкт, який може бути потенційним виконавцем проекту. Якщо проект носить капітальний характер, зазначається можливість користування результатами проекту ос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обами з особливими потребами ):</w:t>
      </w:r>
    </w:p>
    <w:p w:rsidR="00F4001D" w:rsidRDefault="00F4001D" w:rsidP="007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01D" w:rsidRPr="00D41BE2" w:rsidRDefault="00F4001D" w:rsidP="00D41B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1BE2">
        <w:rPr>
          <w:rFonts w:ascii="Times New Roman" w:hAnsi="Times New Roman"/>
          <w:sz w:val="24"/>
          <w:szCs w:val="24"/>
        </w:rPr>
        <w:t>Створення мобільно</w:t>
      </w:r>
      <w:r w:rsidR="00D41BE2" w:rsidRPr="00D41BE2">
        <w:rPr>
          <w:rFonts w:ascii="Times New Roman" w:hAnsi="Times New Roman"/>
          <w:sz w:val="24"/>
          <w:szCs w:val="24"/>
        </w:rPr>
        <w:t xml:space="preserve">ї </w:t>
      </w:r>
      <w:r w:rsidRPr="00D41BE2">
        <w:rPr>
          <w:rFonts w:ascii="Times New Roman" w:hAnsi="Times New Roman"/>
          <w:sz w:val="24"/>
          <w:szCs w:val="24"/>
        </w:rPr>
        <w:t xml:space="preserve">бази </w:t>
      </w:r>
      <w:r w:rsidR="000F7406">
        <w:rPr>
          <w:rFonts w:ascii="Times New Roman" w:hAnsi="Times New Roman"/>
          <w:sz w:val="24"/>
          <w:szCs w:val="24"/>
          <w:shd w:val="clear" w:color="auto" w:fill="FFFFFF"/>
        </w:rPr>
        <w:t>САП-</w:t>
      </w:r>
      <w:proofErr w:type="spellStart"/>
      <w:r w:rsidR="000F7406">
        <w:rPr>
          <w:rFonts w:ascii="Times New Roman" w:hAnsi="Times New Roman"/>
          <w:sz w:val="24"/>
          <w:szCs w:val="24"/>
          <w:shd w:val="clear" w:color="auto" w:fill="FFFFFF"/>
        </w:rPr>
        <w:t>бордингу</w:t>
      </w:r>
      <w:proofErr w:type="spellEnd"/>
      <w:r w:rsidR="000F7406">
        <w:rPr>
          <w:rFonts w:ascii="Times New Roman" w:hAnsi="Times New Roman"/>
          <w:sz w:val="24"/>
          <w:szCs w:val="24"/>
          <w:shd w:val="clear" w:color="auto" w:fill="FFFFFF"/>
        </w:rPr>
        <w:t xml:space="preserve"> (САП-серфінгу</w:t>
      </w:r>
      <w:r w:rsidR="00D41BE2" w:rsidRPr="00D41BE2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D41BE2">
        <w:rPr>
          <w:rFonts w:ascii="Times New Roman" w:hAnsi="Times New Roman"/>
          <w:sz w:val="24"/>
          <w:szCs w:val="24"/>
        </w:rPr>
        <w:t xml:space="preserve"> на базі гуртку «Школа туризму» КЗ ЦКД «Сло</w:t>
      </w:r>
      <w:r w:rsidR="000F7406">
        <w:rPr>
          <w:rFonts w:ascii="Times New Roman" w:hAnsi="Times New Roman"/>
          <w:sz w:val="24"/>
          <w:szCs w:val="24"/>
        </w:rPr>
        <w:t xml:space="preserve">божанський». Проект створений </w:t>
      </w:r>
      <w:r w:rsidRPr="00D41BE2">
        <w:rPr>
          <w:rFonts w:ascii="Times New Roman" w:hAnsi="Times New Roman"/>
          <w:sz w:val="24"/>
          <w:szCs w:val="24"/>
        </w:rPr>
        <w:t xml:space="preserve">для залучення мешканців громади до активного способу життя. Програма спрямована на розкриття індивідуальних психологічних особливостей мешканців громади, поєднує активний, здоровий відпочинок, пізнання і освоєння навколишнього світу, призводить до підвищення рухової активності та покращення </w:t>
      </w:r>
      <w:proofErr w:type="spellStart"/>
      <w:r w:rsidRPr="00D41BE2">
        <w:rPr>
          <w:rFonts w:ascii="Times New Roman" w:hAnsi="Times New Roman"/>
          <w:sz w:val="24"/>
          <w:szCs w:val="24"/>
        </w:rPr>
        <w:t>психо</w:t>
      </w:r>
      <w:proofErr w:type="spellEnd"/>
      <w:r w:rsidRPr="00D41BE2">
        <w:rPr>
          <w:rFonts w:ascii="Times New Roman" w:hAnsi="Times New Roman"/>
          <w:sz w:val="24"/>
          <w:szCs w:val="24"/>
        </w:rPr>
        <w:t>-емоційного стану.</w:t>
      </w:r>
    </w:p>
    <w:p w:rsidR="00DB13F4" w:rsidRPr="00D41BE2" w:rsidRDefault="00DB13F4" w:rsidP="00D41B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BE2">
        <w:rPr>
          <w:rFonts w:ascii="Times New Roman" w:hAnsi="Times New Roman"/>
          <w:sz w:val="24"/>
          <w:szCs w:val="24"/>
          <w:shd w:val="clear" w:color="auto" w:fill="FFFFFF"/>
        </w:rPr>
        <w:t>САП-</w:t>
      </w:r>
      <w:proofErr w:type="spellStart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>бординг</w:t>
      </w:r>
      <w:proofErr w:type="spellEnd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 xml:space="preserve"> (САП-серфінг ) поліпшить  здоров’я, дозволить весело проводити час з усією родиною, поліпшить настрій і </w:t>
      </w:r>
      <w:proofErr w:type="spellStart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>додасть</w:t>
      </w:r>
      <w:proofErr w:type="spellEnd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 xml:space="preserve"> величезний заряд бадьорості. Це спорт, який підвладний людині в будь-якому віці, і з абсолютно будь-фізичною підготовкою або навіть без неї. Переваги САП-</w:t>
      </w:r>
      <w:proofErr w:type="spellStart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>бордингу</w:t>
      </w:r>
      <w:proofErr w:type="spellEnd"/>
      <w:r w:rsidRPr="00D41BE2">
        <w:rPr>
          <w:rFonts w:ascii="Times New Roman" w:hAnsi="Times New Roman"/>
          <w:sz w:val="24"/>
          <w:szCs w:val="24"/>
          <w:shd w:val="clear" w:color="auto" w:fill="FFFFFF"/>
        </w:rPr>
        <w:t xml:space="preserve"> можна перераховувати практично до безкінечності – баланс,</w:t>
      </w:r>
      <w:r w:rsidR="00D41BE2">
        <w:rPr>
          <w:rFonts w:ascii="Times New Roman" w:hAnsi="Times New Roman"/>
          <w:sz w:val="24"/>
          <w:szCs w:val="24"/>
          <w:shd w:val="clear" w:color="auto" w:fill="FFFFFF"/>
        </w:rPr>
        <w:t xml:space="preserve"> відмінний прес, </w:t>
      </w:r>
      <w:r w:rsidR="00D41BE2" w:rsidRPr="00D41BE2">
        <w:rPr>
          <w:rFonts w:ascii="Times New Roman" w:hAnsi="Times New Roman"/>
          <w:sz w:val="24"/>
          <w:szCs w:val="24"/>
          <w:shd w:val="clear" w:color="auto" w:fill="FFFFFF"/>
        </w:rPr>
        <w:t xml:space="preserve">сильні руки та ноги, здорове серце, відновлення і підтримка психічного здоров’я людини в сучасних умовах, зниження рівня стресу та коло по інтересам.  </w:t>
      </w:r>
      <w:r w:rsidRPr="00D41BE2">
        <w:rPr>
          <w:rFonts w:ascii="Times New Roman" w:hAnsi="Times New Roman"/>
          <w:sz w:val="24"/>
          <w:szCs w:val="24"/>
          <w:shd w:val="clear" w:color="auto" w:fill="FFFFFF"/>
        </w:rPr>
        <w:t>Проте, навіть цього невеликого списку, буде досить для того, щоб мешканці надихнулися самою ідеєю САП-серфінгу і захотіли випробувати свої сили в цьому захоплюючому виді водного спорту.</w:t>
      </w:r>
    </w:p>
    <w:p w:rsidR="00F4001D" w:rsidRDefault="00F4001D" w:rsidP="0054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Обґрунтування </w:t>
      </w:r>
      <w:proofErr w:type="spellStart"/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бенефіціарів</w:t>
      </w:r>
      <w:proofErr w:type="spellEnd"/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проекту (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основні групи мешканців, які зможуть користуватися результатами проекту) </w:t>
      </w: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01D" w:rsidRDefault="007A1DC6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Всі верстви населення різних вікових груп.</w:t>
      </w:r>
    </w:p>
    <w:p w:rsidR="00F4001D" w:rsidRPr="00AC0BA5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Інформація щодо очікуваних результ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атів в разі реалізації проекту:</w:t>
      </w:r>
    </w:p>
    <w:p w:rsidR="00F4001D" w:rsidRDefault="00F4001D" w:rsidP="009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DC6" w:rsidRPr="00AF409A" w:rsidRDefault="007A1DC6" w:rsidP="007A1DC6">
      <w:pPr>
        <w:spacing w:after="100" w:afterAutospacing="1" w:line="240" w:lineRule="auto"/>
        <w:ind w:firstLine="360"/>
        <w:rPr>
          <w:rFonts w:ascii="Times New Roman" w:hAnsi="Times New Roman"/>
          <w:bCs/>
          <w:sz w:val="24"/>
          <w:szCs w:val="24"/>
          <w:lang w:eastAsia="ru-RU"/>
        </w:rPr>
      </w:pPr>
      <w:r w:rsidRPr="00AF409A">
        <w:rPr>
          <w:rFonts w:ascii="Times New Roman" w:hAnsi="Times New Roman"/>
          <w:bCs/>
          <w:sz w:val="24"/>
          <w:szCs w:val="24"/>
          <w:lang w:eastAsia="ru-RU"/>
        </w:rPr>
        <w:t xml:space="preserve">Жителі громади зацікавлені у проекті, тому що це буде простір без шкідливих звичок, де будуть проводитись змагання і турніри між різними поколіннями. Результат проекту можуть використовувати усі без винятку </w:t>
      </w:r>
      <w:r>
        <w:rPr>
          <w:rFonts w:ascii="Times New Roman" w:hAnsi="Times New Roman"/>
          <w:bCs/>
          <w:sz w:val="24"/>
          <w:szCs w:val="24"/>
          <w:lang w:eastAsia="ru-RU"/>
        </w:rPr>
        <w:t>мешканці територіальної громади</w:t>
      </w:r>
      <w:r w:rsidRPr="00AF409A">
        <w:rPr>
          <w:rFonts w:ascii="Times New Roman" w:hAnsi="Times New Roman"/>
          <w:bCs/>
          <w:sz w:val="24"/>
          <w:szCs w:val="24"/>
          <w:lang w:eastAsia="ru-RU"/>
        </w:rPr>
        <w:t>. Проект є аполітичним, не залежить від політичної ситуації в селищі, регіоні, а направлений на популяризацію активного туристичного відпочинку та змістовного дозвілля.</w:t>
      </w:r>
    </w:p>
    <w:p w:rsidR="00F4001D" w:rsidRDefault="00F4001D" w:rsidP="008203EB">
      <w:pPr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8. Бюджет (кошторис) проекту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5006"/>
        <w:gridCol w:w="1413"/>
        <w:gridCol w:w="1291"/>
        <w:gridCol w:w="1389"/>
      </w:tblGrid>
      <w:tr w:rsidR="00F4001D" w:rsidRPr="008E0356" w:rsidTr="00BD7ECF">
        <w:trPr>
          <w:trHeight w:val="284"/>
        </w:trPr>
        <w:tc>
          <w:tcPr>
            <w:tcW w:w="503" w:type="dxa"/>
            <w:vMerge w:val="restart"/>
          </w:tcPr>
          <w:p w:rsidR="00F4001D" w:rsidRPr="008E0356" w:rsidRDefault="00F4001D" w:rsidP="00D04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8E0356">
              <w:rPr>
                <w:rFonts w:ascii="Times New Roman" w:hAnsi="Times New Roman"/>
                <w:b/>
                <w:bCs/>
                <w:lang w:eastAsia="uk-UA"/>
              </w:rPr>
              <w:t>№ п/п</w:t>
            </w:r>
          </w:p>
        </w:tc>
        <w:tc>
          <w:tcPr>
            <w:tcW w:w="5021" w:type="dxa"/>
            <w:vMerge w:val="restart"/>
          </w:tcPr>
          <w:p w:rsidR="00F4001D" w:rsidRPr="008E0356" w:rsidRDefault="00F4001D" w:rsidP="00D04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8E0356">
              <w:rPr>
                <w:rFonts w:ascii="Times New Roman" w:hAnsi="Times New Roman"/>
                <w:b/>
                <w:bCs/>
                <w:lang w:eastAsia="uk-UA"/>
              </w:rPr>
              <w:t>Найменування товарів, робіт (послуг)</w:t>
            </w:r>
          </w:p>
        </w:tc>
        <w:tc>
          <w:tcPr>
            <w:tcW w:w="1417" w:type="dxa"/>
            <w:vMerge w:val="restart"/>
          </w:tcPr>
          <w:p w:rsidR="00F4001D" w:rsidRPr="008E0356" w:rsidRDefault="00F4001D" w:rsidP="00D04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8E0356">
              <w:rPr>
                <w:rFonts w:ascii="Times New Roman" w:hAnsi="Times New Roman"/>
                <w:b/>
                <w:bCs/>
                <w:lang w:eastAsia="uk-UA"/>
              </w:rPr>
              <w:t>Ціна за одиницю, грн.</w:t>
            </w:r>
          </w:p>
        </w:tc>
        <w:tc>
          <w:tcPr>
            <w:tcW w:w="1294" w:type="dxa"/>
            <w:vMerge w:val="restart"/>
          </w:tcPr>
          <w:p w:rsidR="00F4001D" w:rsidRPr="008E0356" w:rsidRDefault="00F4001D" w:rsidP="00D04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8E0356">
              <w:rPr>
                <w:rFonts w:ascii="Times New Roman" w:hAnsi="Times New Roman"/>
                <w:b/>
                <w:bCs/>
                <w:lang w:eastAsia="uk-UA"/>
              </w:rPr>
              <w:t>Одиниць, шт.</w:t>
            </w:r>
          </w:p>
        </w:tc>
        <w:tc>
          <w:tcPr>
            <w:tcW w:w="1393" w:type="dxa"/>
            <w:vMerge w:val="restart"/>
          </w:tcPr>
          <w:p w:rsidR="00F4001D" w:rsidRPr="008E0356" w:rsidRDefault="00F4001D" w:rsidP="00D04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8E0356">
              <w:rPr>
                <w:rFonts w:ascii="Times New Roman" w:hAnsi="Times New Roman"/>
                <w:b/>
                <w:bCs/>
                <w:lang w:eastAsia="uk-UA"/>
              </w:rPr>
              <w:t>Вартість, грн.</w:t>
            </w:r>
          </w:p>
        </w:tc>
      </w:tr>
      <w:tr w:rsidR="00F4001D" w:rsidRPr="008E0356" w:rsidTr="00BD7ECF">
        <w:trPr>
          <w:trHeight w:val="284"/>
        </w:trPr>
        <w:tc>
          <w:tcPr>
            <w:tcW w:w="503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021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94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93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F4001D" w:rsidRPr="008E0356" w:rsidTr="00BD7ECF">
        <w:trPr>
          <w:trHeight w:val="284"/>
        </w:trPr>
        <w:tc>
          <w:tcPr>
            <w:tcW w:w="503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021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94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93" w:type="dxa"/>
            <w:vMerge/>
          </w:tcPr>
          <w:p w:rsidR="00F4001D" w:rsidRPr="008E0356" w:rsidRDefault="00F4001D" w:rsidP="00D041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F4001D" w:rsidRPr="008E0356" w:rsidTr="008E0356">
        <w:trPr>
          <w:trHeight w:val="170"/>
        </w:trPr>
        <w:tc>
          <w:tcPr>
            <w:tcW w:w="503" w:type="dxa"/>
            <w:noWrap/>
          </w:tcPr>
          <w:p w:rsidR="00F4001D" w:rsidRPr="008E0356" w:rsidRDefault="00F4001D" w:rsidP="008E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356">
              <w:rPr>
                <w:rFonts w:ascii="Times New Roman" w:hAnsi="Times New Roman"/>
              </w:rPr>
              <w:t>1</w:t>
            </w:r>
          </w:p>
        </w:tc>
        <w:tc>
          <w:tcPr>
            <w:tcW w:w="5021" w:type="dxa"/>
          </w:tcPr>
          <w:p w:rsidR="00F4001D" w:rsidRPr="008E0356" w:rsidRDefault="008E0356" w:rsidP="008E0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E0356">
              <w:rPr>
                <w:rFonts w:ascii="Times New Roman" w:hAnsi="Times New Roman"/>
                <w:color w:val="000000"/>
              </w:rPr>
              <w:t>Надувная</w:t>
            </w:r>
            <w:proofErr w:type="spellEnd"/>
            <w:r w:rsidRPr="008E0356">
              <w:rPr>
                <w:rFonts w:ascii="Times New Roman" w:hAnsi="Times New Roman"/>
                <w:color w:val="000000"/>
              </w:rPr>
              <w:t xml:space="preserve"> SUP </w:t>
            </w:r>
            <w:proofErr w:type="spellStart"/>
            <w:r w:rsidRPr="008E0356">
              <w:rPr>
                <w:rFonts w:ascii="Times New Roman" w:hAnsi="Times New Roman"/>
                <w:color w:val="000000"/>
              </w:rPr>
              <w:t>доска</w:t>
            </w:r>
            <w:proofErr w:type="spellEnd"/>
            <w:r w:rsidRPr="008E0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0356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8E0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0356">
              <w:rPr>
                <w:rFonts w:ascii="Times New Roman" w:hAnsi="Times New Roman"/>
                <w:color w:val="000000"/>
              </w:rPr>
              <w:t>Paddle</w:t>
            </w:r>
            <w:proofErr w:type="spellEnd"/>
            <w:r w:rsidRPr="008E0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0356">
              <w:rPr>
                <w:rFonts w:ascii="Times New Roman" w:hAnsi="Times New Roman"/>
                <w:color w:val="000000"/>
              </w:rPr>
              <w:t>Elite</w:t>
            </w:r>
            <w:proofErr w:type="spellEnd"/>
            <w:r w:rsidRPr="008E0356">
              <w:rPr>
                <w:rFonts w:ascii="Times New Roman" w:hAnsi="Times New Roman"/>
                <w:color w:val="000000"/>
              </w:rPr>
              <w:t xml:space="preserve"> 14 x 25</w:t>
            </w:r>
          </w:p>
        </w:tc>
        <w:tc>
          <w:tcPr>
            <w:tcW w:w="1417" w:type="dxa"/>
            <w:noWrap/>
          </w:tcPr>
          <w:p w:rsidR="00F4001D" w:rsidRPr="008E0356" w:rsidRDefault="008E0356" w:rsidP="008E0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356">
              <w:rPr>
                <w:rFonts w:ascii="Times New Roman" w:hAnsi="Times New Roman"/>
              </w:rPr>
              <w:t>17999</w:t>
            </w:r>
          </w:p>
        </w:tc>
        <w:tc>
          <w:tcPr>
            <w:tcW w:w="1294" w:type="dxa"/>
            <w:noWrap/>
          </w:tcPr>
          <w:p w:rsidR="008E0356" w:rsidRPr="008E0356" w:rsidRDefault="008E0356" w:rsidP="008E0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356">
              <w:rPr>
                <w:rFonts w:ascii="Times New Roman" w:hAnsi="Times New Roman"/>
              </w:rPr>
              <w:t>11</w:t>
            </w:r>
          </w:p>
        </w:tc>
        <w:tc>
          <w:tcPr>
            <w:tcW w:w="1393" w:type="dxa"/>
            <w:noWrap/>
          </w:tcPr>
          <w:p w:rsidR="00F4001D" w:rsidRPr="008E0356" w:rsidRDefault="008E0356" w:rsidP="008E0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356">
              <w:rPr>
                <w:rFonts w:ascii="Times New Roman" w:hAnsi="Times New Roman"/>
              </w:rPr>
              <w:t xml:space="preserve">197 989 </w:t>
            </w:r>
          </w:p>
        </w:tc>
      </w:tr>
      <w:tr w:rsidR="00F4001D" w:rsidRPr="008E0356" w:rsidTr="00BD7ECF">
        <w:trPr>
          <w:trHeight w:val="284"/>
        </w:trPr>
        <w:tc>
          <w:tcPr>
            <w:tcW w:w="503" w:type="dxa"/>
            <w:noWrap/>
          </w:tcPr>
          <w:p w:rsidR="00F4001D" w:rsidRPr="008E0356" w:rsidRDefault="00F4001D" w:rsidP="00D0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356">
              <w:rPr>
                <w:rFonts w:ascii="Times New Roman" w:hAnsi="Times New Roman"/>
              </w:rPr>
              <w:t> </w:t>
            </w:r>
          </w:p>
        </w:tc>
        <w:tc>
          <w:tcPr>
            <w:tcW w:w="5021" w:type="dxa"/>
            <w:noWrap/>
          </w:tcPr>
          <w:p w:rsidR="00F4001D" w:rsidRPr="008E0356" w:rsidRDefault="00F4001D" w:rsidP="00D0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356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417" w:type="dxa"/>
            <w:noWrap/>
          </w:tcPr>
          <w:p w:rsidR="00F4001D" w:rsidRPr="008E0356" w:rsidRDefault="00F4001D" w:rsidP="00D0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noWrap/>
          </w:tcPr>
          <w:p w:rsidR="00F4001D" w:rsidRPr="008E0356" w:rsidRDefault="00F4001D" w:rsidP="00D0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noWrap/>
          </w:tcPr>
          <w:p w:rsidR="00F4001D" w:rsidRPr="008E0356" w:rsidRDefault="000845AC" w:rsidP="00B5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0356">
              <w:rPr>
                <w:rFonts w:ascii="Times New Roman" w:hAnsi="Times New Roman"/>
                <w:b/>
              </w:rPr>
              <w:t>1</w:t>
            </w:r>
            <w:r w:rsidR="008E0356" w:rsidRPr="008E0356">
              <w:rPr>
                <w:rFonts w:ascii="Times New Roman" w:hAnsi="Times New Roman"/>
                <w:b/>
              </w:rPr>
              <w:t>97 989</w:t>
            </w:r>
          </w:p>
        </w:tc>
      </w:tr>
    </w:tbl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Список з підписами та паспортними даними щонайменше 20 громадян України, </w:t>
      </w:r>
      <w:r w:rsidRPr="005D17C8">
        <w:rPr>
          <w:rFonts w:ascii="Times New Roman" w:hAnsi="Times New Roman"/>
          <w:bCs/>
          <w:sz w:val="24"/>
          <w:szCs w:val="24"/>
          <w:lang w:eastAsia="ru-RU"/>
        </w:rPr>
        <w:t xml:space="preserve">віком від 16 років, які зареєстровані на території </w:t>
      </w: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>Слобожанської селищної територіальної громади</w:t>
      </w:r>
      <w:r w:rsidRPr="005D17C8">
        <w:rPr>
          <w:rFonts w:ascii="Times New Roman" w:hAnsi="Times New Roman"/>
          <w:bCs/>
          <w:sz w:val="24"/>
          <w:szCs w:val="24"/>
          <w:lang w:eastAsia="ru-RU"/>
        </w:rPr>
        <w:t>, що підтверджується офіційними документами,</w:t>
      </w:r>
      <w:r w:rsidRPr="005D1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 підтримують цей проект (окрім його авторів), що додається. </w:t>
      </w:r>
      <w:r w:rsidRPr="005D17C8">
        <w:rPr>
          <w:rFonts w:ascii="Times New Roman" w:hAnsi="Times New Roman"/>
          <w:bCs/>
          <w:sz w:val="24"/>
          <w:szCs w:val="24"/>
          <w:lang w:eastAsia="ru-RU"/>
        </w:rPr>
        <w:t xml:space="preserve">Кожна додаткова сторінка списку повинна мати таку ж форму, за винятком позначення наступної сторінки </w:t>
      </w:r>
      <w:r w:rsidRPr="005D17C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(необхідно додати оригінал списку у паперовій формі). 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Контактні дані автора/авторів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</w:t>
      </w:r>
      <w:proofErr w:type="spellStart"/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т.д</w:t>
      </w:r>
      <w:proofErr w:type="spellEnd"/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(необхідне підкреслити): </w:t>
      </w:r>
    </w:p>
    <w:p w:rsidR="00F4001D" w:rsidRPr="00D070AE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висловлюю свою згоду на використання моєї електронної адреси </w:t>
      </w:r>
      <w:hyperlink r:id="rId6" w:history="1">
        <w:r w:rsidR="00D070AE" w:rsidRPr="00E34356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galeon</w:t>
        </w:r>
        <w:r w:rsidR="00D070AE" w:rsidRPr="00E34356">
          <w:rPr>
            <w:rStyle w:val="ab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1109</w:t>
        </w:r>
        <w:r w:rsidR="00D070AE" w:rsidRPr="00E34356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@gmail.com</w:t>
        </w:r>
      </w:hyperlink>
      <w:r w:rsidR="00BD7ECF" w:rsidRPr="00D070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70AE">
        <w:rPr>
          <w:rFonts w:ascii="Times New Roman" w:hAnsi="Times New Roman"/>
          <w:sz w:val="24"/>
          <w:szCs w:val="24"/>
          <w:lang w:eastAsia="ru-RU"/>
        </w:rPr>
        <w:t xml:space="preserve">для зазначених вище цілей.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Підпис особи, що дає згоду на використання своєї електронної адреси ___________________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не висловлюю згоди на використання моєї електронної адреси для зазначених вище цілей.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Примітка: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Контактні дані </w:t>
      </w: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авторів пропозицій (проектів) </w:t>
      </w: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(тільки для Слобожанської селищної територіальної громади)</w:t>
      </w: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зазначаються на зворотній сторінці бланку-заявки, яка є недоступною для громадськості. </w:t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Інші додатки </w:t>
      </w:r>
      <w:r w:rsidRPr="005D17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(якщо необхідно)</w:t>
      </w:r>
      <w:r w:rsidRPr="005D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>a) фотографія/ї,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які стосуються цього проекту,</w:t>
      </w:r>
    </w:p>
    <w:p w:rsidR="00F4001D" w:rsidRDefault="00063C0C" w:rsidP="008203EB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3181350" cy="1857375"/>
            <wp:effectExtent l="0" t="0" r="0" b="9525"/>
            <wp:docPr id="5" name="Рисунок 5" descr="Основные преимущества надувного САП-бор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ые преимущества надувного САП-бор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A40" w:rsidRPr="004E1A40">
        <w:t xml:space="preserve"> </w:t>
      </w:r>
      <w:r>
        <w:rPr>
          <w:noProof/>
          <w:lang w:val="en-US"/>
        </w:rPr>
        <w:drawing>
          <wp:inline distT="0" distB="0" distL="0" distR="0">
            <wp:extent cx="2276475" cy="1762125"/>
            <wp:effectExtent l="0" t="0" r="9525" b="9525"/>
            <wp:docPr id="6" name="Рисунок 6" descr="Часто задаваемые вопросы про надувные SUP доски | Статьи про са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асто задаваемые вопросы про надувные SUP доски | Статьи про сап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40" w:rsidRDefault="00063C0C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3171825" cy="1781175"/>
            <wp:effectExtent l="0" t="0" r="9525" b="9525"/>
            <wp:docPr id="7" name="Рисунок 7" descr="САП борд надувной Aquamarina Hyper ( sup board) - обзор эксперт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П борд надувной Aquamarina Hyper ( sup board) - обзор эксперта и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мапа з зазначеним місцем реалізації проекту, </w:t>
      </w:r>
    </w:p>
    <w:p w:rsidR="00F4001D" w:rsidRDefault="00F4001D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інші матеріали, суттєві для заявника проекту (креслення, схеми тощо) </w:t>
      </w:r>
    </w:p>
    <w:p w:rsidR="00DE663B" w:rsidRPr="005D17C8" w:rsidRDefault="00DE663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01D" w:rsidRPr="005D17C8" w:rsidRDefault="00F4001D" w:rsidP="002B21F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bookmarkStart w:id="7" w:name="_GoBack"/>
      <w:bookmarkEnd w:id="7"/>
    </w:p>
    <w:sectPr w:rsidR="00F4001D" w:rsidRPr="005D17C8" w:rsidSect="00862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F2"/>
    <w:multiLevelType w:val="hybridMultilevel"/>
    <w:tmpl w:val="F0F219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B7D"/>
    <w:multiLevelType w:val="hybridMultilevel"/>
    <w:tmpl w:val="B8DA0A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B6"/>
    <w:rsid w:val="0005494F"/>
    <w:rsid w:val="00063C0C"/>
    <w:rsid w:val="000845AC"/>
    <w:rsid w:val="000A2C62"/>
    <w:rsid w:val="000F7406"/>
    <w:rsid w:val="001332D8"/>
    <w:rsid w:val="00165108"/>
    <w:rsid w:val="00202F73"/>
    <w:rsid w:val="00205357"/>
    <w:rsid w:val="00226D51"/>
    <w:rsid w:val="00232498"/>
    <w:rsid w:val="00233F3D"/>
    <w:rsid w:val="00267148"/>
    <w:rsid w:val="002B21F7"/>
    <w:rsid w:val="002C3C77"/>
    <w:rsid w:val="002F67CF"/>
    <w:rsid w:val="00313F6A"/>
    <w:rsid w:val="00344048"/>
    <w:rsid w:val="004730AC"/>
    <w:rsid w:val="004E1A40"/>
    <w:rsid w:val="00544FAC"/>
    <w:rsid w:val="005577A6"/>
    <w:rsid w:val="00561084"/>
    <w:rsid w:val="005D17C8"/>
    <w:rsid w:val="00601945"/>
    <w:rsid w:val="00602F43"/>
    <w:rsid w:val="00611E69"/>
    <w:rsid w:val="00616709"/>
    <w:rsid w:val="00677757"/>
    <w:rsid w:val="006B3FFA"/>
    <w:rsid w:val="006D5FC4"/>
    <w:rsid w:val="007302B6"/>
    <w:rsid w:val="0074315A"/>
    <w:rsid w:val="0074705B"/>
    <w:rsid w:val="00770EE3"/>
    <w:rsid w:val="007A1DC6"/>
    <w:rsid w:val="008203EB"/>
    <w:rsid w:val="0086292A"/>
    <w:rsid w:val="008E0356"/>
    <w:rsid w:val="0095766C"/>
    <w:rsid w:val="009B50C2"/>
    <w:rsid w:val="00A414C9"/>
    <w:rsid w:val="00AC0BA5"/>
    <w:rsid w:val="00AF409A"/>
    <w:rsid w:val="00B37548"/>
    <w:rsid w:val="00B46365"/>
    <w:rsid w:val="00B57B51"/>
    <w:rsid w:val="00B93742"/>
    <w:rsid w:val="00BA18E1"/>
    <w:rsid w:val="00BA5D0F"/>
    <w:rsid w:val="00BB4692"/>
    <w:rsid w:val="00BD7ECF"/>
    <w:rsid w:val="00C00F4B"/>
    <w:rsid w:val="00C93574"/>
    <w:rsid w:val="00CA3BB1"/>
    <w:rsid w:val="00CD42B5"/>
    <w:rsid w:val="00D041B2"/>
    <w:rsid w:val="00D070AE"/>
    <w:rsid w:val="00D11363"/>
    <w:rsid w:val="00D41BE2"/>
    <w:rsid w:val="00D71F87"/>
    <w:rsid w:val="00D95E2A"/>
    <w:rsid w:val="00D96734"/>
    <w:rsid w:val="00DB13F4"/>
    <w:rsid w:val="00DE663B"/>
    <w:rsid w:val="00DF0DBE"/>
    <w:rsid w:val="00E24E34"/>
    <w:rsid w:val="00E34356"/>
    <w:rsid w:val="00E551E8"/>
    <w:rsid w:val="00E63C24"/>
    <w:rsid w:val="00EB43C7"/>
    <w:rsid w:val="00EC0558"/>
    <w:rsid w:val="00F138D0"/>
    <w:rsid w:val="00F4001D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2D400"/>
  <w14:defaultImageDpi w14:val="0"/>
  <w15:docId w15:val="{1EA99AD9-93FB-4F61-BD30-99BB854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EB"/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E6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A18E1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544FA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A18E1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4FAC"/>
    <w:rPr>
      <w:rFonts w:ascii="Cambria" w:hAnsi="Cambria" w:cs="Times New Roman"/>
      <w:b/>
      <w:bCs/>
      <w:color w:val="4F81BD"/>
    </w:rPr>
  </w:style>
  <w:style w:type="character" w:styleId="a3">
    <w:name w:val="Strong"/>
    <w:basedOn w:val="a0"/>
    <w:uiPriority w:val="99"/>
    <w:qFormat/>
    <w:rsid w:val="00BA18E1"/>
    <w:rPr>
      <w:rFonts w:cs="Times New Roman"/>
      <w:b/>
    </w:rPr>
  </w:style>
  <w:style w:type="character" w:styleId="a4">
    <w:name w:val="Emphasis"/>
    <w:basedOn w:val="a0"/>
    <w:uiPriority w:val="99"/>
    <w:qFormat/>
    <w:rsid w:val="00BA18E1"/>
    <w:rPr>
      <w:rFonts w:cs="Times New Roman"/>
      <w:i/>
    </w:rPr>
  </w:style>
  <w:style w:type="paragraph" w:styleId="a5">
    <w:name w:val="No Spacing"/>
    <w:uiPriority w:val="99"/>
    <w:qFormat/>
    <w:rsid w:val="00BA18E1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99"/>
    <w:qFormat/>
    <w:rsid w:val="00BA18E1"/>
    <w:pPr>
      <w:ind w:left="720"/>
      <w:contextualSpacing/>
    </w:pPr>
  </w:style>
  <w:style w:type="table" w:styleId="a7">
    <w:name w:val="Table Grid"/>
    <w:basedOn w:val="a1"/>
    <w:uiPriority w:val="99"/>
    <w:rsid w:val="008203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4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7431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544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b">
    <w:name w:val="Hyperlink"/>
    <w:basedOn w:val="a0"/>
    <w:uiPriority w:val="99"/>
    <w:rsid w:val="00BD7E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eon1109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Мельник Юрій Миколайович</dc:creator>
  <cp:keywords/>
  <dc:description/>
  <cp:lastModifiedBy>Мельник Юрій Миколайович</cp:lastModifiedBy>
  <cp:revision>3</cp:revision>
  <cp:lastPrinted>2020-05-26T03:55:00Z</cp:lastPrinted>
  <dcterms:created xsi:type="dcterms:W3CDTF">2020-05-28T19:29:00Z</dcterms:created>
  <dcterms:modified xsi:type="dcterms:W3CDTF">2020-06-16T06:19:00Z</dcterms:modified>
</cp:coreProperties>
</file>